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4B" w:rsidRPr="003F6C4B" w:rsidRDefault="003F6C4B" w:rsidP="003F6C4B">
      <w:pPr>
        <w:tabs>
          <w:tab w:val="left" w:pos="851"/>
          <w:tab w:val="left" w:pos="1418"/>
          <w:tab w:val="left" w:pos="1701"/>
          <w:tab w:val="left" w:pos="2126"/>
          <w:tab w:val="left" w:pos="2552"/>
          <w:tab w:val="left" w:pos="2977"/>
        </w:tabs>
        <w:spacing w:after="0" w:line="240" w:lineRule="auto"/>
        <w:ind w:right="567"/>
        <w:jc w:val="center"/>
        <w:rPr>
          <w:rFonts w:ascii="Arial" w:eastAsia="Times New Roman" w:hAnsi="Arial" w:cs="Arial"/>
          <w:b/>
          <w:bCs/>
          <w:sz w:val="24"/>
          <w:szCs w:val="24"/>
          <w:lang w:eastAsia="en-AU"/>
        </w:rPr>
      </w:pPr>
      <w:r w:rsidRPr="003F6C4B">
        <w:rPr>
          <w:rFonts w:ascii="Arial" w:eastAsia="Times New Roman" w:hAnsi="Arial" w:cs="Arial"/>
          <w:b/>
          <w:bCs/>
          <w:sz w:val="24"/>
          <w:szCs w:val="24"/>
          <w:lang w:eastAsia="en-AU"/>
        </w:rPr>
        <w:t>TERRORISM (POLICE POWERS) (SUPREME COURT) RULES 2006</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right="567"/>
        <w:rPr>
          <w:rFonts w:ascii="Arial" w:eastAsia="Times New Roman" w:hAnsi="Arial" w:cs="Arial"/>
          <w:sz w:val="24"/>
          <w:szCs w:val="24"/>
          <w:u w:val="single"/>
          <w:lang w:eastAsia="en-AU"/>
        </w:rPr>
      </w:pPr>
      <w:r w:rsidRPr="003F6C4B">
        <w:rPr>
          <w:rFonts w:ascii="Arial" w:eastAsia="Times New Roman" w:hAnsi="Arial" w:cs="Arial"/>
          <w:sz w:val="24"/>
          <w:szCs w:val="24"/>
          <w:u w:val="single"/>
          <w:lang w:eastAsia="en-AU"/>
        </w:rPr>
        <w:t> </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right="567"/>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 </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right="567"/>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The Terrorism (Police Powers) (Supreme Court) Rules 2006, dated 7 July 2006, came into operation on 27 July 2006 (</w:t>
      </w:r>
      <w:r w:rsidRPr="003F6C4B">
        <w:rPr>
          <w:rFonts w:ascii="Arial" w:eastAsia="Times New Roman" w:hAnsi="Arial" w:cs="Arial"/>
          <w:i/>
          <w:iCs/>
          <w:sz w:val="24"/>
          <w:szCs w:val="24"/>
          <w:lang w:eastAsia="en-AU"/>
        </w:rPr>
        <w:t>South Australian Government Gazette</w:t>
      </w:r>
      <w:r w:rsidRPr="003F6C4B">
        <w:rPr>
          <w:rFonts w:ascii="Arial" w:eastAsia="Times New Roman" w:hAnsi="Arial" w:cs="Arial"/>
          <w:sz w:val="24"/>
          <w:szCs w:val="24"/>
          <w:lang w:eastAsia="en-AU"/>
        </w:rPr>
        <w:t>, 27 July 2006, p.2428).</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right="567"/>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 </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right="567"/>
        <w:jc w:val="both"/>
        <w:rPr>
          <w:rFonts w:ascii="Arial" w:eastAsia="Times New Roman" w:hAnsi="Arial" w:cs="Arial"/>
          <w:b/>
          <w:bCs/>
          <w:sz w:val="24"/>
          <w:szCs w:val="24"/>
          <w:lang w:eastAsia="en-AU"/>
        </w:rPr>
      </w:pPr>
      <w:r w:rsidRPr="003F6C4B">
        <w:rPr>
          <w:rFonts w:ascii="Arial" w:eastAsia="Times New Roman" w:hAnsi="Arial" w:cs="Arial"/>
          <w:b/>
          <w:bCs/>
          <w:sz w:val="24"/>
          <w:szCs w:val="24"/>
          <w:lang w:eastAsia="en-AU"/>
        </w:rPr>
        <w:t>1.</w:t>
      </w:r>
      <w:r w:rsidRPr="003F6C4B">
        <w:rPr>
          <w:rFonts w:ascii="Arial" w:eastAsia="Times New Roman" w:hAnsi="Arial" w:cs="Arial"/>
          <w:b/>
          <w:bCs/>
          <w:sz w:val="24"/>
          <w:szCs w:val="24"/>
          <w:lang w:eastAsia="en-AU"/>
        </w:rPr>
        <w:tab/>
        <w:t>Short title</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left="851" w:right="567" w:hanging="851"/>
        <w:jc w:val="both"/>
        <w:rPr>
          <w:rFonts w:ascii="Arial" w:eastAsia="Times New Roman" w:hAnsi="Arial" w:cs="Arial"/>
          <w:sz w:val="24"/>
          <w:szCs w:val="24"/>
          <w:lang w:eastAsia="en-AU"/>
        </w:rPr>
      </w:pPr>
      <w:r w:rsidRPr="003F6C4B">
        <w:rPr>
          <w:rFonts w:ascii="Arial" w:eastAsia="Times New Roman" w:hAnsi="Arial" w:cs="Arial"/>
          <w:b/>
          <w:bCs/>
          <w:sz w:val="24"/>
          <w:szCs w:val="24"/>
          <w:lang w:eastAsia="en-AU"/>
        </w:rPr>
        <w:tab/>
      </w:r>
      <w:r w:rsidRPr="003F6C4B">
        <w:rPr>
          <w:rFonts w:ascii="Arial" w:eastAsia="Times New Roman" w:hAnsi="Arial" w:cs="Arial"/>
          <w:sz w:val="24"/>
          <w:szCs w:val="24"/>
          <w:lang w:eastAsia="en-AU"/>
        </w:rPr>
        <w:t xml:space="preserve">These Rules may be cited as the </w:t>
      </w:r>
      <w:r w:rsidRPr="003F6C4B">
        <w:rPr>
          <w:rFonts w:ascii="Arial" w:eastAsia="Times New Roman" w:hAnsi="Arial" w:cs="Arial"/>
          <w:i/>
          <w:iCs/>
          <w:sz w:val="24"/>
          <w:szCs w:val="24"/>
          <w:lang w:eastAsia="en-AU"/>
        </w:rPr>
        <w:t>Terrorism (Police Powers) (Supreme Court) Rules 2006.</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left="720" w:right="567" w:hanging="720"/>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 </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right="567"/>
        <w:jc w:val="both"/>
        <w:rPr>
          <w:rFonts w:ascii="Arial" w:eastAsia="Times New Roman" w:hAnsi="Arial" w:cs="Arial"/>
          <w:b/>
          <w:bCs/>
          <w:sz w:val="24"/>
          <w:szCs w:val="24"/>
          <w:lang w:eastAsia="en-AU"/>
        </w:rPr>
      </w:pPr>
      <w:r w:rsidRPr="003F6C4B">
        <w:rPr>
          <w:rFonts w:ascii="Arial" w:eastAsia="Times New Roman" w:hAnsi="Arial" w:cs="Arial"/>
          <w:b/>
          <w:bCs/>
          <w:sz w:val="24"/>
          <w:szCs w:val="24"/>
          <w:lang w:eastAsia="en-AU"/>
        </w:rPr>
        <w:t>2.</w:t>
      </w:r>
      <w:r w:rsidRPr="003F6C4B">
        <w:rPr>
          <w:rFonts w:ascii="Arial" w:eastAsia="Times New Roman" w:hAnsi="Arial" w:cs="Arial"/>
          <w:b/>
          <w:bCs/>
          <w:sz w:val="24"/>
          <w:szCs w:val="24"/>
          <w:lang w:eastAsia="en-AU"/>
        </w:rPr>
        <w:tab/>
        <w:t>Interpretation</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right="567"/>
        <w:jc w:val="both"/>
        <w:rPr>
          <w:rFonts w:ascii="Arial" w:eastAsia="Times New Roman" w:hAnsi="Arial" w:cs="Arial"/>
          <w:sz w:val="24"/>
          <w:szCs w:val="24"/>
          <w:lang w:eastAsia="en-AU"/>
        </w:rPr>
      </w:pPr>
      <w:r w:rsidRPr="003F6C4B">
        <w:rPr>
          <w:rFonts w:ascii="Arial" w:eastAsia="Times New Roman" w:hAnsi="Arial" w:cs="Arial"/>
          <w:b/>
          <w:bCs/>
          <w:sz w:val="24"/>
          <w:szCs w:val="24"/>
          <w:lang w:eastAsia="en-AU"/>
        </w:rPr>
        <w:tab/>
      </w:r>
      <w:r w:rsidRPr="003F6C4B">
        <w:rPr>
          <w:rFonts w:ascii="Arial" w:eastAsia="Times New Roman" w:hAnsi="Arial" w:cs="Arial"/>
          <w:sz w:val="24"/>
          <w:szCs w:val="24"/>
          <w:lang w:eastAsia="en-AU"/>
        </w:rPr>
        <w:t>In these rules</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right="567"/>
        <w:jc w:val="both"/>
        <w:rPr>
          <w:rFonts w:ascii="Arial" w:eastAsia="Times New Roman" w:hAnsi="Arial" w:cs="Arial"/>
          <w:i/>
          <w:iCs/>
          <w:sz w:val="24"/>
          <w:szCs w:val="24"/>
          <w:lang w:eastAsia="en-AU"/>
        </w:rPr>
      </w:pPr>
      <w:r w:rsidRPr="003F6C4B">
        <w:rPr>
          <w:rFonts w:ascii="Arial" w:eastAsia="Times New Roman" w:hAnsi="Arial" w:cs="Arial"/>
          <w:sz w:val="24"/>
          <w:szCs w:val="24"/>
          <w:lang w:eastAsia="en-AU"/>
        </w:rPr>
        <w:tab/>
      </w:r>
      <w:r w:rsidRPr="003F6C4B">
        <w:rPr>
          <w:rFonts w:ascii="Arial" w:eastAsia="Times New Roman" w:hAnsi="Arial" w:cs="Arial"/>
          <w:b/>
          <w:bCs/>
          <w:i/>
          <w:iCs/>
          <w:sz w:val="24"/>
          <w:szCs w:val="24"/>
          <w:lang w:eastAsia="en-AU"/>
        </w:rPr>
        <w:t>Act</w:t>
      </w:r>
      <w:r w:rsidRPr="003F6C4B">
        <w:rPr>
          <w:rFonts w:ascii="Arial" w:eastAsia="Times New Roman" w:hAnsi="Arial" w:cs="Arial"/>
          <w:sz w:val="24"/>
          <w:szCs w:val="24"/>
          <w:lang w:eastAsia="en-AU"/>
        </w:rPr>
        <w:t xml:space="preserve"> means the </w:t>
      </w:r>
      <w:r w:rsidRPr="003F6C4B">
        <w:rPr>
          <w:rFonts w:ascii="Arial" w:eastAsia="Times New Roman" w:hAnsi="Arial" w:cs="Arial"/>
          <w:i/>
          <w:iCs/>
          <w:sz w:val="24"/>
          <w:szCs w:val="24"/>
          <w:lang w:eastAsia="en-AU"/>
        </w:rPr>
        <w:t>Terrorism (Police Powers) Act 2005;</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right="567"/>
        <w:jc w:val="both"/>
        <w:rPr>
          <w:rFonts w:ascii="Arial" w:eastAsia="Times New Roman" w:hAnsi="Arial" w:cs="Arial"/>
          <w:sz w:val="24"/>
          <w:szCs w:val="24"/>
          <w:lang w:eastAsia="en-AU"/>
        </w:rPr>
      </w:pPr>
      <w:r w:rsidRPr="003F6C4B">
        <w:rPr>
          <w:rFonts w:ascii="Arial" w:eastAsia="Times New Roman" w:hAnsi="Arial" w:cs="Arial"/>
          <w:b/>
          <w:bCs/>
          <w:i/>
          <w:iCs/>
          <w:sz w:val="24"/>
          <w:szCs w:val="24"/>
          <w:lang w:eastAsia="en-AU"/>
        </w:rPr>
        <w:tab/>
      </w:r>
      <w:proofErr w:type="gramStart"/>
      <w:r w:rsidRPr="003F6C4B">
        <w:rPr>
          <w:rFonts w:ascii="Arial" w:eastAsia="Times New Roman" w:hAnsi="Arial" w:cs="Arial"/>
          <w:b/>
          <w:bCs/>
          <w:i/>
          <w:iCs/>
          <w:sz w:val="24"/>
          <w:szCs w:val="24"/>
          <w:lang w:eastAsia="en-AU"/>
        </w:rPr>
        <w:t>regulations</w:t>
      </w:r>
      <w:proofErr w:type="gramEnd"/>
      <w:r w:rsidRPr="003F6C4B">
        <w:rPr>
          <w:rFonts w:ascii="Arial" w:eastAsia="Times New Roman" w:hAnsi="Arial" w:cs="Arial"/>
          <w:sz w:val="24"/>
          <w:szCs w:val="24"/>
          <w:lang w:eastAsia="en-AU"/>
        </w:rPr>
        <w:t xml:space="preserve"> means the Terrorism (Police Powers) Regulations 2006;</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851" w:right="567" w:hanging="851"/>
        <w:jc w:val="both"/>
        <w:rPr>
          <w:rFonts w:ascii="Arial" w:eastAsia="Times New Roman" w:hAnsi="Arial" w:cs="Arial"/>
          <w:sz w:val="24"/>
          <w:szCs w:val="24"/>
          <w:lang w:eastAsia="en-AU"/>
        </w:rPr>
      </w:pPr>
      <w:r w:rsidRPr="003F6C4B">
        <w:rPr>
          <w:rFonts w:ascii="Arial" w:eastAsia="Times New Roman" w:hAnsi="Arial" w:cs="Arial"/>
          <w:b/>
          <w:bCs/>
          <w:i/>
          <w:iCs/>
          <w:sz w:val="24"/>
          <w:szCs w:val="24"/>
          <w:lang w:eastAsia="en-AU"/>
        </w:rPr>
        <w:tab/>
      </w:r>
      <w:proofErr w:type="gramStart"/>
      <w:r w:rsidRPr="003F6C4B">
        <w:rPr>
          <w:rFonts w:ascii="Arial" w:eastAsia="Times New Roman" w:hAnsi="Arial" w:cs="Arial"/>
          <w:b/>
          <w:bCs/>
          <w:i/>
          <w:iCs/>
          <w:sz w:val="24"/>
          <w:szCs w:val="24"/>
          <w:lang w:eastAsia="en-AU"/>
        </w:rPr>
        <w:t>relevant</w:t>
      </w:r>
      <w:proofErr w:type="gramEnd"/>
      <w:r w:rsidRPr="003F6C4B">
        <w:rPr>
          <w:rFonts w:ascii="Arial" w:eastAsia="Times New Roman" w:hAnsi="Arial" w:cs="Arial"/>
          <w:b/>
          <w:bCs/>
          <w:i/>
          <w:iCs/>
          <w:sz w:val="24"/>
          <w:szCs w:val="24"/>
          <w:lang w:eastAsia="en-AU"/>
        </w:rPr>
        <w:t xml:space="preserve"> authority</w:t>
      </w:r>
      <w:r w:rsidRPr="003F6C4B">
        <w:rPr>
          <w:rFonts w:ascii="Arial" w:eastAsia="Times New Roman" w:hAnsi="Arial" w:cs="Arial"/>
          <w:sz w:val="24"/>
          <w:szCs w:val="24"/>
          <w:lang w:eastAsia="en-AU"/>
        </w:rPr>
        <w:t xml:space="preserve"> means the Commissioner of Police or such other person as is referred to in section 3(3) of the Act;</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right="567"/>
        <w:jc w:val="both"/>
        <w:rPr>
          <w:rFonts w:ascii="Arial" w:eastAsia="Times New Roman" w:hAnsi="Arial" w:cs="Arial"/>
          <w:sz w:val="24"/>
          <w:szCs w:val="24"/>
          <w:lang w:eastAsia="en-AU"/>
        </w:rPr>
      </w:pPr>
      <w:r w:rsidRPr="003F6C4B">
        <w:rPr>
          <w:rFonts w:ascii="Arial" w:eastAsia="Times New Roman" w:hAnsi="Arial" w:cs="Arial"/>
          <w:b/>
          <w:bCs/>
          <w:i/>
          <w:iCs/>
          <w:sz w:val="24"/>
          <w:szCs w:val="24"/>
          <w:lang w:eastAsia="en-AU"/>
        </w:rPr>
        <w:tab/>
      </w:r>
      <w:proofErr w:type="gramStart"/>
      <w:r w:rsidRPr="003F6C4B">
        <w:rPr>
          <w:rFonts w:ascii="Arial" w:eastAsia="Times New Roman" w:hAnsi="Arial" w:cs="Arial"/>
          <w:b/>
          <w:bCs/>
          <w:i/>
          <w:iCs/>
          <w:sz w:val="24"/>
          <w:szCs w:val="24"/>
          <w:lang w:eastAsia="en-AU"/>
        </w:rPr>
        <w:t>relevant</w:t>
      </w:r>
      <w:proofErr w:type="gramEnd"/>
      <w:r w:rsidRPr="003F6C4B">
        <w:rPr>
          <w:rFonts w:ascii="Arial" w:eastAsia="Times New Roman" w:hAnsi="Arial" w:cs="Arial"/>
          <w:b/>
          <w:bCs/>
          <w:i/>
          <w:iCs/>
          <w:sz w:val="24"/>
          <w:szCs w:val="24"/>
          <w:lang w:eastAsia="en-AU"/>
        </w:rPr>
        <w:t xml:space="preserve"> judicial officer</w:t>
      </w:r>
      <w:r w:rsidRPr="003F6C4B">
        <w:rPr>
          <w:rFonts w:ascii="Arial" w:eastAsia="Times New Roman" w:hAnsi="Arial" w:cs="Arial"/>
          <w:sz w:val="24"/>
          <w:szCs w:val="24"/>
          <w:lang w:eastAsia="en-AU"/>
        </w:rPr>
        <w:t xml:space="preserve"> means a Judge of the Supreme Court;</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851" w:right="567" w:hanging="851"/>
        <w:jc w:val="both"/>
        <w:rPr>
          <w:rFonts w:ascii="Arial" w:eastAsia="Times New Roman" w:hAnsi="Arial" w:cs="Arial"/>
          <w:sz w:val="24"/>
          <w:szCs w:val="24"/>
          <w:lang w:eastAsia="en-AU"/>
        </w:rPr>
      </w:pPr>
      <w:r w:rsidRPr="003F6C4B">
        <w:rPr>
          <w:rFonts w:ascii="Arial" w:eastAsia="Times New Roman" w:hAnsi="Arial" w:cs="Arial"/>
          <w:b/>
          <w:bCs/>
          <w:i/>
          <w:iCs/>
          <w:sz w:val="24"/>
          <w:szCs w:val="24"/>
          <w:lang w:eastAsia="en-AU"/>
        </w:rPr>
        <w:tab/>
      </w:r>
      <w:proofErr w:type="gramStart"/>
      <w:r w:rsidRPr="003F6C4B">
        <w:rPr>
          <w:rFonts w:ascii="Arial" w:eastAsia="Times New Roman" w:hAnsi="Arial" w:cs="Arial"/>
          <w:b/>
          <w:bCs/>
          <w:i/>
          <w:iCs/>
          <w:sz w:val="24"/>
          <w:szCs w:val="24"/>
          <w:lang w:eastAsia="en-AU"/>
        </w:rPr>
        <w:t>special</w:t>
      </w:r>
      <w:proofErr w:type="gramEnd"/>
      <w:r w:rsidRPr="003F6C4B">
        <w:rPr>
          <w:rFonts w:ascii="Arial" w:eastAsia="Times New Roman" w:hAnsi="Arial" w:cs="Arial"/>
          <w:b/>
          <w:bCs/>
          <w:i/>
          <w:iCs/>
          <w:sz w:val="24"/>
          <w:szCs w:val="24"/>
          <w:lang w:eastAsia="en-AU"/>
        </w:rPr>
        <w:t xml:space="preserve"> area declaration</w:t>
      </w:r>
      <w:r w:rsidRPr="003F6C4B">
        <w:rPr>
          <w:rFonts w:ascii="Arial" w:eastAsia="Times New Roman" w:hAnsi="Arial" w:cs="Arial"/>
          <w:sz w:val="24"/>
          <w:szCs w:val="24"/>
          <w:lang w:eastAsia="en-AU"/>
        </w:rPr>
        <w:t xml:space="preserve"> means a special area declaration issued pursuant to section 13(1) of the Act;</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left="851" w:right="567" w:hanging="851"/>
        <w:jc w:val="both"/>
        <w:rPr>
          <w:rFonts w:ascii="Arial" w:eastAsia="Times New Roman" w:hAnsi="Arial" w:cs="Arial"/>
          <w:sz w:val="24"/>
          <w:szCs w:val="24"/>
          <w:lang w:eastAsia="en-AU"/>
        </w:rPr>
      </w:pPr>
      <w:r w:rsidRPr="003F6C4B">
        <w:rPr>
          <w:rFonts w:ascii="Arial" w:eastAsia="Times New Roman" w:hAnsi="Arial" w:cs="Arial"/>
          <w:b/>
          <w:bCs/>
          <w:i/>
          <w:iCs/>
          <w:sz w:val="24"/>
          <w:szCs w:val="24"/>
          <w:lang w:eastAsia="en-AU"/>
        </w:rPr>
        <w:tab/>
      </w:r>
      <w:proofErr w:type="gramStart"/>
      <w:r w:rsidRPr="003F6C4B">
        <w:rPr>
          <w:rFonts w:ascii="Arial" w:eastAsia="Times New Roman" w:hAnsi="Arial" w:cs="Arial"/>
          <w:b/>
          <w:bCs/>
          <w:i/>
          <w:iCs/>
          <w:sz w:val="24"/>
          <w:szCs w:val="24"/>
          <w:lang w:eastAsia="en-AU"/>
        </w:rPr>
        <w:t>special</w:t>
      </w:r>
      <w:proofErr w:type="gramEnd"/>
      <w:r w:rsidRPr="003F6C4B">
        <w:rPr>
          <w:rFonts w:ascii="Arial" w:eastAsia="Times New Roman" w:hAnsi="Arial" w:cs="Arial"/>
          <w:b/>
          <w:bCs/>
          <w:i/>
          <w:iCs/>
          <w:sz w:val="24"/>
          <w:szCs w:val="24"/>
          <w:lang w:eastAsia="en-AU"/>
        </w:rPr>
        <w:t xml:space="preserve"> powers authorisation</w:t>
      </w:r>
      <w:r w:rsidRPr="003F6C4B">
        <w:rPr>
          <w:rFonts w:ascii="Arial" w:eastAsia="Times New Roman" w:hAnsi="Arial" w:cs="Arial"/>
          <w:sz w:val="24"/>
          <w:szCs w:val="24"/>
          <w:lang w:eastAsia="en-AU"/>
        </w:rPr>
        <w:t xml:space="preserve"> means a special powers authorisation issued pursuant to section 3 of the Act;</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left="851" w:right="567" w:hanging="851"/>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 </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851" w:right="567" w:hanging="851"/>
        <w:jc w:val="both"/>
        <w:rPr>
          <w:rFonts w:ascii="Arial" w:eastAsia="Times New Roman" w:hAnsi="Arial" w:cs="Arial"/>
          <w:b/>
          <w:bCs/>
          <w:sz w:val="24"/>
          <w:szCs w:val="24"/>
          <w:lang w:eastAsia="en-AU"/>
        </w:rPr>
      </w:pPr>
      <w:r w:rsidRPr="003F6C4B">
        <w:rPr>
          <w:rFonts w:ascii="Arial" w:eastAsia="Times New Roman" w:hAnsi="Arial" w:cs="Arial"/>
          <w:b/>
          <w:bCs/>
          <w:sz w:val="24"/>
          <w:szCs w:val="24"/>
          <w:lang w:eastAsia="en-AU"/>
        </w:rPr>
        <w:t>3.</w:t>
      </w:r>
      <w:r w:rsidRPr="003F6C4B">
        <w:rPr>
          <w:rFonts w:ascii="Arial" w:eastAsia="Times New Roman" w:hAnsi="Arial" w:cs="Arial"/>
          <w:b/>
          <w:bCs/>
          <w:sz w:val="24"/>
          <w:szCs w:val="24"/>
          <w:lang w:eastAsia="en-AU"/>
        </w:rPr>
        <w:tab/>
        <w:t>Applications for confirmation that the relevant authority has or had proper grounds for issuing a special powers authorisation</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851" w:right="567" w:hanging="851"/>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t>An application to a relevant judicial officer seeking confirmation that the relevant authority has or had proper grounds for issuing a special powers authorisation</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851" w:right="567" w:hanging="851"/>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t>(a)</w:t>
      </w:r>
      <w:r w:rsidRPr="003F6C4B">
        <w:rPr>
          <w:rFonts w:ascii="Arial" w:eastAsia="Times New Roman" w:hAnsi="Arial" w:cs="Arial"/>
          <w:sz w:val="24"/>
          <w:szCs w:val="24"/>
          <w:lang w:eastAsia="en-AU"/>
        </w:rPr>
        <w:tab/>
      </w:r>
      <w:proofErr w:type="gramStart"/>
      <w:r w:rsidRPr="003F6C4B">
        <w:rPr>
          <w:rFonts w:ascii="Arial" w:eastAsia="Times New Roman" w:hAnsi="Arial" w:cs="Arial"/>
          <w:sz w:val="24"/>
          <w:szCs w:val="24"/>
          <w:lang w:eastAsia="en-AU"/>
        </w:rPr>
        <w:t>must</w:t>
      </w:r>
      <w:proofErr w:type="gramEnd"/>
      <w:r w:rsidRPr="003F6C4B">
        <w:rPr>
          <w:rFonts w:ascii="Arial" w:eastAsia="Times New Roman" w:hAnsi="Arial" w:cs="Arial"/>
          <w:sz w:val="24"/>
          <w:szCs w:val="24"/>
          <w:lang w:eastAsia="en-AU"/>
        </w:rPr>
        <w:t xml:space="preserve"> conform to the requirements set out in clause 4 of the regulations;</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851" w:right="567" w:hanging="851"/>
        <w:jc w:val="center"/>
        <w:rPr>
          <w:rFonts w:ascii="Arial" w:eastAsia="Times New Roman" w:hAnsi="Arial" w:cs="Arial"/>
          <w:sz w:val="24"/>
          <w:szCs w:val="24"/>
          <w:lang w:eastAsia="en-AU"/>
        </w:rPr>
      </w:pPr>
      <w:proofErr w:type="gramStart"/>
      <w:r w:rsidRPr="003F6C4B">
        <w:rPr>
          <w:rFonts w:ascii="Arial" w:eastAsia="Times New Roman" w:hAnsi="Arial" w:cs="Arial"/>
          <w:sz w:val="24"/>
          <w:szCs w:val="24"/>
          <w:lang w:eastAsia="en-AU"/>
        </w:rPr>
        <w:t>and</w:t>
      </w:r>
      <w:proofErr w:type="gramEnd"/>
    </w:p>
    <w:p w:rsidR="003F6C4B" w:rsidRPr="003F6C4B" w:rsidRDefault="003F6C4B" w:rsidP="003F6C4B">
      <w:pPr>
        <w:tabs>
          <w:tab w:val="left" w:pos="851"/>
          <w:tab w:val="left" w:pos="1418"/>
          <w:tab w:val="left" w:pos="1701"/>
          <w:tab w:val="left" w:pos="2126"/>
          <w:tab w:val="left" w:pos="2552"/>
          <w:tab w:val="left" w:pos="2977"/>
        </w:tabs>
        <w:spacing w:after="0" w:line="240" w:lineRule="auto"/>
        <w:ind w:left="1418" w:right="567" w:hanging="1418"/>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t>(b)</w:t>
      </w:r>
      <w:r w:rsidRPr="003F6C4B">
        <w:rPr>
          <w:rFonts w:ascii="Arial" w:eastAsia="Times New Roman" w:hAnsi="Arial" w:cs="Arial"/>
          <w:sz w:val="24"/>
          <w:szCs w:val="24"/>
          <w:lang w:eastAsia="en-AU"/>
        </w:rPr>
        <w:tab/>
      </w:r>
      <w:proofErr w:type="gramStart"/>
      <w:r w:rsidRPr="003F6C4B">
        <w:rPr>
          <w:rFonts w:ascii="Arial" w:eastAsia="Times New Roman" w:hAnsi="Arial" w:cs="Arial"/>
          <w:sz w:val="24"/>
          <w:szCs w:val="24"/>
          <w:lang w:eastAsia="en-AU"/>
        </w:rPr>
        <w:t>must</w:t>
      </w:r>
      <w:proofErr w:type="gramEnd"/>
      <w:r w:rsidRPr="003F6C4B">
        <w:rPr>
          <w:rFonts w:ascii="Arial" w:eastAsia="Times New Roman" w:hAnsi="Arial" w:cs="Arial"/>
          <w:sz w:val="24"/>
          <w:szCs w:val="24"/>
          <w:lang w:eastAsia="en-AU"/>
        </w:rPr>
        <w:t xml:space="preserve"> be lodged, together with any supporting documents, in a sealed envelope with the Judge nominated by the Chief Justice to hear the application, and must not be filed or lodged in the Registry or entered in the records of the Court.</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right="567"/>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 </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720" w:right="567" w:hanging="720"/>
        <w:jc w:val="both"/>
        <w:rPr>
          <w:rFonts w:ascii="Arial" w:eastAsia="Times New Roman" w:hAnsi="Arial" w:cs="Arial"/>
          <w:b/>
          <w:bCs/>
          <w:sz w:val="24"/>
          <w:szCs w:val="24"/>
          <w:lang w:eastAsia="en-AU"/>
        </w:rPr>
      </w:pPr>
      <w:r w:rsidRPr="003F6C4B">
        <w:rPr>
          <w:rFonts w:ascii="Arial" w:eastAsia="Times New Roman" w:hAnsi="Arial" w:cs="Arial"/>
          <w:b/>
          <w:bCs/>
          <w:sz w:val="24"/>
          <w:szCs w:val="24"/>
          <w:lang w:eastAsia="en-AU"/>
        </w:rPr>
        <w:t>4.</w:t>
      </w:r>
      <w:r w:rsidRPr="003F6C4B">
        <w:rPr>
          <w:rFonts w:ascii="Arial" w:eastAsia="Times New Roman" w:hAnsi="Arial" w:cs="Arial"/>
          <w:b/>
          <w:bCs/>
          <w:sz w:val="24"/>
          <w:szCs w:val="24"/>
          <w:lang w:eastAsia="en-AU"/>
        </w:rPr>
        <w:tab/>
        <w:t>Applications for confirmation that the issuing of a special area declaration is appropriate</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851" w:right="567" w:hanging="851"/>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t>Applications by the Commissioner of Police to a relevant judicial officer seeking confirmation that the issuing of a special area declaration is appropriate in the circumstances</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851" w:right="567" w:hanging="851"/>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t>(a)</w:t>
      </w:r>
      <w:r w:rsidRPr="003F6C4B">
        <w:rPr>
          <w:rFonts w:ascii="Arial" w:eastAsia="Times New Roman" w:hAnsi="Arial" w:cs="Arial"/>
          <w:sz w:val="24"/>
          <w:szCs w:val="24"/>
          <w:lang w:eastAsia="en-AU"/>
        </w:rPr>
        <w:tab/>
      </w:r>
      <w:proofErr w:type="gramStart"/>
      <w:r w:rsidRPr="003F6C4B">
        <w:rPr>
          <w:rFonts w:ascii="Arial" w:eastAsia="Times New Roman" w:hAnsi="Arial" w:cs="Arial"/>
          <w:sz w:val="24"/>
          <w:szCs w:val="24"/>
          <w:lang w:eastAsia="en-AU"/>
        </w:rPr>
        <w:t>must</w:t>
      </w:r>
      <w:proofErr w:type="gramEnd"/>
      <w:r w:rsidRPr="003F6C4B">
        <w:rPr>
          <w:rFonts w:ascii="Arial" w:eastAsia="Times New Roman" w:hAnsi="Arial" w:cs="Arial"/>
          <w:sz w:val="24"/>
          <w:szCs w:val="24"/>
          <w:lang w:eastAsia="en-AU"/>
        </w:rPr>
        <w:t xml:space="preserve"> conform to the requirements set out in clause 5 of the regulations; </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851" w:right="567" w:hanging="851"/>
        <w:jc w:val="center"/>
        <w:rPr>
          <w:rFonts w:ascii="Arial" w:eastAsia="Times New Roman" w:hAnsi="Arial" w:cs="Arial"/>
          <w:sz w:val="24"/>
          <w:szCs w:val="24"/>
          <w:lang w:eastAsia="en-AU"/>
        </w:rPr>
      </w:pPr>
      <w:proofErr w:type="gramStart"/>
      <w:r w:rsidRPr="003F6C4B">
        <w:rPr>
          <w:rFonts w:ascii="Arial" w:eastAsia="Times New Roman" w:hAnsi="Arial" w:cs="Arial"/>
          <w:sz w:val="24"/>
          <w:szCs w:val="24"/>
          <w:lang w:eastAsia="en-AU"/>
        </w:rPr>
        <w:t>and</w:t>
      </w:r>
      <w:proofErr w:type="gramEnd"/>
    </w:p>
    <w:p w:rsidR="003F6C4B" w:rsidRPr="003F6C4B" w:rsidRDefault="003F6C4B" w:rsidP="003F6C4B">
      <w:pPr>
        <w:tabs>
          <w:tab w:val="left" w:pos="851"/>
          <w:tab w:val="left" w:pos="1418"/>
          <w:tab w:val="left" w:pos="1701"/>
          <w:tab w:val="left" w:pos="2126"/>
          <w:tab w:val="left" w:pos="2552"/>
          <w:tab w:val="left" w:pos="2977"/>
        </w:tabs>
        <w:spacing w:after="0" w:line="240" w:lineRule="auto"/>
        <w:ind w:left="1418" w:right="567" w:hanging="1418"/>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t>(b)</w:t>
      </w:r>
      <w:r w:rsidRPr="003F6C4B">
        <w:rPr>
          <w:rFonts w:ascii="Arial" w:eastAsia="Times New Roman" w:hAnsi="Arial" w:cs="Arial"/>
          <w:sz w:val="24"/>
          <w:szCs w:val="24"/>
          <w:lang w:eastAsia="en-AU"/>
        </w:rPr>
        <w:tab/>
      </w:r>
      <w:proofErr w:type="gramStart"/>
      <w:r w:rsidRPr="003F6C4B">
        <w:rPr>
          <w:rFonts w:ascii="Arial" w:eastAsia="Times New Roman" w:hAnsi="Arial" w:cs="Arial"/>
          <w:sz w:val="24"/>
          <w:szCs w:val="24"/>
          <w:lang w:eastAsia="en-AU"/>
        </w:rPr>
        <w:t>must</w:t>
      </w:r>
      <w:proofErr w:type="gramEnd"/>
      <w:r w:rsidRPr="003F6C4B">
        <w:rPr>
          <w:rFonts w:ascii="Arial" w:eastAsia="Times New Roman" w:hAnsi="Arial" w:cs="Arial"/>
          <w:sz w:val="24"/>
          <w:szCs w:val="24"/>
          <w:lang w:eastAsia="en-AU"/>
        </w:rPr>
        <w:t xml:space="preserve"> be lodged, together with any supporting documents, in a sealed envelope with the Judge nominated by the Chief Justice to </w:t>
      </w:r>
      <w:r w:rsidRPr="003F6C4B">
        <w:rPr>
          <w:rFonts w:ascii="Arial" w:eastAsia="Times New Roman" w:hAnsi="Arial" w:cs="Arial"/>
          <w:sz w:val="24"/>
          <w:szCs w:val="24"/>
          <w:lang w:eastAsia="en-AU"/>
        </w:rPr>
        <w:lastRenderedPageBreak/>
        <w:t>hear the application, and must not be filed or lodged in the Registry or entered in the records of the Court.</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left="1418" w:right="567" w:hanging="1418"/>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 </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right="567"/>
        <w:jc w:val="both"/>
        <w:rPr>
          <w:rFonts w:ascii="Arial" w:eastAsia="Times New Roman" w:hAnsi="Arial" w:cs="Arial"/>
          <w:b/>
          <w:bCs/>
          <w:sz w:val="24"/>
          <w:szCs w:val="24"/>
          <w:lang w:eastAsia="en-AU"/>
        </w:rPr>
      </w:pPr>
      <w:r w:rsidRPr="003F6C4B">
        <w:rPr>
          <w:rFonts w:ascii="Arial" w:eastAsia="Times New Roman" w:hAnsi="Arial" w:cs="Arial"/>
          <w:b/>
          <w:bCs/>
          <w:sz w:val="24"/>
          <w:szCs w:val="24"/>
          <w:lang w:eastAsia="en-AU"/>
        </w:rPr>
        <w:t>5.</w:t>
      </w:r>
      <w:r w:rsidRPr="003F6C4B">
        <w:rPr>
          <w:rFonts w:ascii="Arial" w:eastAsia="Times New Roman" w:hAnsi="Arial" w:cs="Arial"/>
          <w:b/>
          <w:bCs/>
          <w:sz w:val="24"/>
          <w:szCs w:val="24"/>
          <w:lang w:eastAsia="en-AU"/>
        </w:rPr>
        <w:tab/>
        <w:t>Secure storage of documents</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left="1418" w:right="567" w:hanging="1418"/>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t>(a)</w:t>
      </w:r>
      <w:r w:rsidRPr="003F6C4B">
        <w:rPr>
          <w:rFonts w:ascii="Arial" w:eastAsia="Times New Roman" w:hAnsi="Arial" w:cs="Arial"/>
          <w:sz w:val="24"/>
          <w:szCs w:val="24"/>
          <w:lang w:eastAsia="en-AU"/>
        </w:rPr>
        <w:tab/>
        <w:t>Following the hearing of an application for confirmation of the issue of a special powers authorisation or for confirmation of a special area declaration, the application and all other documents put before the Judge who dealt with the application and any other document used or referred to in relation to the hearing of the application must be placed in a sealed envelope and lodged with the Registry.</w:t>
      </w:r>
    </w:p>
    <w:p w:rsidR="003F6C4B" w:rsidRPr="003F6C4B" w:rsidRDefault="003F6C4B" w:rsidP="003F6C4B">
      <w:pPr>
        <w:tabs>
          <w:tab w:val="left" w:pos="851"/>
          <w:tab w:val="left" w:pos="1418"/>
          <w:tab w:val="left" w:pos="1701"/>
          <w:tab w:val="left" w:pos="2126"/>
          <w:tab w:val="left" w:pos="2552"/>
          <w:tab w:val="left" w:pos="2977"/>
        </w:tabs>
        <w:spacing w:after="60" w:line="240" w:lineRule="auto"/>
        <w:ind w:right="567"/>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t>(b)</w:t>
      </w:r>
      <w:r w:rsidRPr="003F6C4B">
        <w:rPr>
          <w:rFonts w:ascii="Arial" w:eastAsia="Times New Roman" w:hAnsi="Arial" w:cs="Arial"/>
          <w:sz w:val="24"/>
          <w:szCs w:val="24"/>
          <w:lang w:eastAsia="en-AU"/>
        </w:rPr>
        <w:tab/>
        <w:t>The sealed envelope</w:t>
      </w:r>
    </w:p>
    <w:p w:rsidR="003F6C4B" w:rsidRPr="003F6C4B" w:rsidRDefault="003F6C4B" w:rsidP="003F6C4B">
      <w:pPr>
        <w:tabs>
          <w:tab w:val="left" w:pos="851"/>
          <w:tab w:val="left" w:pos="1418"/>
          <w:tab w:val="left" w:pos="2126"/>
          <w:tab w:val="left" w:pos="2552"/>
          <w:tab w:val="left" w:pos="2977"/>
        </w:tabs>
        <w:spacing w:after="60" w:line="240" w:lineRule="auto"/>
        <w:ind w:left="2126" w:right="567" w:hanging="2126"/>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r>
      <w:r w:rsidRPr="003F6C4B">
        <w:rPr>
          <w:rFonts w:ascii="Arial" w:eastAsia="Times New Roman" w:hAnsi="Arial" w:cs="Arial"/>
          <w:sz w:val="24"/>
          <w:szCs w:val="24"/>
          <w:lang w:eastAsia="en-AU"/>
        </w:rPr>
        <w:tab/>
        <w:t>(</w:t>
      </w:r>
      <w:proofErr w:type="spellStart"/>
      <w:r w:rsidRPr="003F6C4B">
        <w:rPr>
          <w:rFonts w:ascii="Arial" w:eastAsia="Times New Roman" w:hAnsi="Arial" w:cs="Arial"/>
          <w:sz w:val="24"/>
          <w:szCs w:val="24"/>
          <w:lang w:eastAsia="en-AU"/>
        </w:rPr>
        <w:t>i</w:t>
      </w:r>
      <w:proofErr w:type="spellEnd"/>
      <w:r w:rsidRPr="003F6C4B">
        <w:rPr>
          <w:rFonts w:ascii="Arial" w:eastAsia="Times New Roman" w:hAnsi="Arial" w:cs="Arial"/>
          <w:sz w:val="24"/>
          <w:szCs w:val="24"/>
          <w:lang w:eastAsia="en-AU"/>
        </w:rPr>
        <w:t>)</w:t>
      </w:r>
      <w:r w:rsidRPr="003F6C4B">
        <w:rPr>
          <w:rFonts w:ascii="Arial" w:eastAsia="Times New Roman" w:hAnsi="Arial" w:cs="Arial"/>
          <w:sz w:val="24"/>
          <w:szCs w:val="24"/>
          <w:lang w:eastAsia="en-AU"/>
        </w:rPr>
        <w:tab/>
        <w:t>is to be kept in such secure place as may be directed by the Registrar for the period written on the face of the envelope by the Judge who heard the application; and</w:t>
      </w:r>
    </w:p>
    <w:p w:rsidR="003F6C4B" w:rsidRPr="003F6C4B" w:rsidRDefault="003F6C4B" w:rsidP="003F6C4B">
      <w:pPr>
        <w:tabs>
          <w:tab w:val="left" w:pos="851"/>
          <w:tab w:val="left" w:pos="1418"/>
          <w:tab w:val="left" w:pos="2126"/>
          <w:tab w:val="left" w:pos="2552"/>
          <w:tab w:val="left" w:pos="2977"/>
        </w:tabs>
        <w:spacing w:after="0" w:line="240" w:lineRule="auto"/>
        <w:ind w:left="2126" w:right="567" w:hanging="2126"/>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ab/>
      </w:r>
      <w:r w:rsidRPr="003F6C4B">
        <w:rPr>
          <w:rFonts w:ascii="Arial" w:eastAsia="Times New Roman" w:hAnsi="Arial" w:cs="Arial"/>
          <w:sz w:val="24"/>
          <w:szCs w:val="24"/>
          <w:lang w:eastAsia="en-AU"/>
        </w:rPr>
        <w:tab/>
        <w:t>(ii)</w:t>
      </w:r>
      <w:r w:rsidRPr="003F6C4B">
        <w:rPr>
          <w:rFonts w:ascii="Arial" w:eastAsia="Times New Roman" w:hAnsi="Arial" w:cs="Arial"/>
          <w:sz w:val="24"/>
          <w:szCs w:val="24"/>
          <w:lang w:eastAsia="en-AU"/>
        </w:rPr>
        <w:tab/>
      </w:r>
      <w:proofErr w:type="gramStart"/>
      <w:r w:rsidRPr="003F6C4B">
        <w:rPr>
          <w:rFonts w:ascii="Arial" w:eastAsia="Times New Roman" w:hAnsi="Arial" w:cs="Arial"/>
          <w:sz w:val="24"/>
          <w:szCs w:val="24"/>
          <w:lang w:eastAsia="en-AU"/>
        </w:rPr>
        <w:t>is</w:t>
      </w:r>
      <w:proofErr w:type="gramEnd"/>
      <w:r w:rsidRPr="003F6C4B">
        <w:rPr>
          <w:rFonts w:ascii="Arial" w:eastAsia="Times New Roman" w:hAnsi="Arial" w:cs="Arial"/>
          <w:sz w:val="24"/>
          <w:szCs w:val="24"/>
          <w:lang w:eastAsia="en-AU"/>
        </w:rPr>
        <w:t xml:space="preserve"> not to be opened except by and in accordance with the order of a Judge of the Court.</w:t>
      </w:r>
    </w:p>
    <w:p w:rsidR="003F6C4B" w:rsidRPr="003F6C4B" w:rsidRDefault="003F6C4B" w:rsidP="003F6C4B">
      <w:pPr>
        <w:tabs>
          <w:tab w:val="left" w:pos="851"/>
          <w:tab w:val="left" w:pos="1418"/>
          <w:tab w:val="left" w:pos="1701"/>
          <w:tab w:val="left" w:pos="2126"/>
          <w:tab w:val="left" w:pos="2552"/>
          <w:tab w:val="left" w:pos="2977"/>
        </w:tabs>
        <w:spacing w:after="0" w:line="240" w:lineRule="auto"/>
        <w:ind w:right="567"/>
        <w:jc w:val="both"/>
        <w:rPr>
          <w:rFonts w:ascii="Arial" w:eastAsia="Times New Roman" w:hAnsi="Arial" w:cs="Arial"/>
          <w:sz w:val="24"/>
          <w:szCs w:val="24"/>
          <w:lang w:eastAsia="en-AU"/>
        </w:rPr>
      </w:pPr>
      <w:r w:rsidRPr="003F6C4B">
        <w:rPr>
          <w:rFonts w:ascii="Arial" w:eastAsia="Times New Roman" w:hAnsi="Arial" w:cs="Arial"/>
          <w:sz w:val="24"/>
          <w:szCs w:val="24"/>
          <w:lang w:eastAsia="en-AU"/>
        </w:rPr>
        <w:t> </w:t>
      </w:r>
    </w:p>
    <w:p w:rsidR="004F7A7A" w:rsidRDefault="003F6C4B"/>
    <w:sectPr w:rsidR="004F7A7A" w:rsidSect="000809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3F6C4B"/>
    <w:rsid w:val="000809F6"/>
    <w:rsid w:val="00143B48"/>
    <w:rsid w:val="003E3513"/>
    <w:rsid w:val="003F6C4B"/>
    <w:rsid w:val="004F006F"/>
    <w:rsid w:val="00565D5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C4B"/>
    <w:rPr>
      <w:color w:val="0000FF"/>
      <w:u w:val="single"/>
    </w:rPr>
  </w:style>
</w:styles>
</file>

<file path=word/webSettings.xml><?xml version="1.0" encoding="utf-8"?>
<w:webSettings xmlns:r="http://schemas.openxmlformats.org/officeDocument/2006/relationships" xmlns:w="http://schemas.openxmlformats.org/wordprocessingml/2006/main">
  <w:divs>
    <w:div w:id="10064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380A9-E8DB-4337-863D-079B4BF6905F}"/>
</file>

<file path=customXml/itemProps2.xml><?xml version="1.0" encoding="utf-8"?>
<ds:datastoreItem xmlns:ds="http://schemas.openxmlformats.org/officeDocument/2006/customXml" ds:itemID="{C7C16022-0402-4481-A1C6-4877E7011AC3}"/>
</file>

<file path=customXml/itemProps3.xml><?xml version="1.0" encoding="utf-8"?>
<ds:datastoreItem xmlns:ds="http://schemas.openxmlformats.org/officeDocument/2006/customXml" ds:itemID="{D5ED3C09-E79A-4BF8-8FA1-EFEAB804F7B6}"/>
</file>

<file path=docProps/app.xml><?xml version="1.0" encoding="utf-8"?>
<Properties xmlns="http://schemas.openxmlformats.org/officeDocument/2006/extended-properties" xmlns:vt="http://schemas.openxmlformats.org/officeDocument/2006/docPropsVTypes">
  <Template>Normal.dotm</Template>
  <TotalTime>9</TotalTime>
  <Pages>2</Pages>
  <Words>423</Words>
  <Characters>2416</Characters>
  <Application>Microsoft Office Word</Application>
  <DocSecurity>0</DocSecurity>
  <Lines>20</Lines>
  <Paragraphs>5</Paragraphs>
  <ScaleCrop>false</ScaleCrop>
  <Company>Courts Administration Authority</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(Police Powers) (Supreme Court) Rules 2006</dc:title>
  <dc:subject>Terrorism (Police Powers) (Supreme Court) Rules 2006</dc:subject>
  <dc:creator>Courts Administration Authority</dc:creator>
  <cp:lastModifiedBy>kcsrnw</cp:lastModifiedBy>
  <cp:revision>1</cp:revision>
  <dcterms:created xsi:type="dcterms:W3CDTF">2012-07-13T03:47:00Z</dcterms:created>
  <dcterms:modified xsi:type="dcterms:W3CDTF">2012-07-13T03:56:00Z</dcterms:modified>
</cp:coreProperties>
</file>